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25" w:rsidRPr="00E63A25" w:rsidRDefault="00E63A25" w:rsidP="00E63A25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color w:val="757575"/>
          <w:sz w:val="17"/>
          <w:szCs w:val="17"/>
          <w:lang w:eastAsia="ru-RU"/>
        </w:rPr>
      </w:pPr>
      <w:proofErr w:type="spellStart"/>
      <w:proofErr w:type="gramStart"/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>Нов</w:t>
      </w:r>
      <w:proofErr w:type="gramEnd"/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>і</w:t>
      </w:r>
      <w:proofErr w:type="spellEnd"/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 xml:space="preserve"> правила </w:t>
      </w:r>
      <w:proofErr w:type="spellStart"/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>нарахування</w:t>
      </w:r>
      <w:proofErr w:type="spellEnd"/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>лікарняних</w:t>
      </w:r>
      <w:proofErr w:type="spellEnd"/>
    </w:p>
    <w:p w:rsidR="00E63A25" w:rsidRPr="00E63A25" w:rsidRDefault="00E63A25" w:rsidP="00E63A25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color w:val="757575"/>
          <w:sz w:val="17"/>
          <w:szCs w:val="17"/>
          <w:lang w:eastAsia="ru-RU"/>
        </w:rPr>
      </w:pPr>
      <w:proofErr w:type="spellStart"/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>Кабінет</w:t>
      </w:r>
      <w:proofErr w:type="spellEnd"/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>міні</w:t>
      </w:r>
      <w:proofErr w:type="gramStart"/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>стр</w:t>
      </w:r>
      <w:proofErr w:type="gramEnd"/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>ів</w:t>
      </w:r>
      <w:proofErr w:type="spellEnd"/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>України</w:t>
      </w:r>
      <w:proofErr w:type="spellEnd"/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 xml:space="preserve"> затвердив </w:t>
      </w:r>
      <w:proofErr w:type="spellStart"/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>нові</w:t>
      </w:r>
      <w:proofErr w:type="spellEnd"/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 xml:space="preserve"> правила оплати </w:t>
      </w:r>
      <w:proofErr w:type="spellStart"/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>лікарняних</w:t>
      </w:r>
      <w:proofErr w:type="spellEnd"/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>.</w:t>
      </w:r>
    </w:p>
    <w:p w:rsidR="00E63A25" w:rsidRPr="00E63A25" w:rsidRDefault="00E63A25" w:rsidP="00E63A25">
      <w:pPr>
        <w:shd w:val="clear" w:color="auto" w:fill="F3F3F3"/>
        <w:spacing w:after="280" w:line="360" w:lineRule="atLeast"/>
        <w:rPr>
          <w:rFonts w:ascii="Tahoma" w:eastAsia="Times New Roman" w:hAnsi="Tahoma" w:cs="Tahoma"/>
          <w:color w:val="757575"/>
          <w:sz w:val="28"/>
          <w:szCs w:val="28"/>
          <w:lang w:eastAsia="ru-RU"/>
        </w:rPr>
      </w:pP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Тепер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для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їх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нарахування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використовують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середню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зарплату </w:t>
      </w:r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 xml:space="preserve">не за </w:t>
      </w:r>
      <w:proofErr w:type="spellStart"/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>шість</w:t>
      </w:r>
      <w:proofErr w:type="spellEnd"/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 xml:space="preserve">, а за </w:t>
      </w:r>
      <w:proofErr w:type="spellStart"/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>дванадцять</w:t>
      </w:r>
      <w:proofErr w:type="spellEnd"/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>місяців</w:t>
      </w:r>
      <w:proofErr w:type="spellEnd"/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>.</w:t>
      </w:r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 </w:t>
      </w:r>
      <w:proofErr w:type="spellStart"/>
      <w:proofErr w:type="gram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Окр</w:t>
      </w:r>
      <w:proofErr w:type="gram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ім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того, до не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відпрацьованого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з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поважних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причин  часу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віднесли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й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періоди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 </w:t>
      </w:r>
      <w:proofErr w:type="spellStart"/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>відпусток</w:t>
      </w:r>
      <w:proofErr w:type="spellEnd"/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 xml:space="preserve"> без </w:t>
      </w:r>
      <w:proofErr w:type="spellStart"/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>збереження</w:t>
      </w:r>
      <w:proofErr w:type="spellEnd"/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>зарплати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 (без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прив’язки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до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законодавчих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підстав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для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їхнього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надання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).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Оплаті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п</w:t>
      </w:r>
      <w:proofErr w:type="gram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ідлягають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 </w:t>
      </w:r>
      <w:proofErr w:type="spellStart"/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>календарні</w:t>
      </w:r>
      <w:proofErr w:type="spellEnd"/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 xml:space="preserve">, а не </w:t>
      </w:r>
      <w:proofErr w:type="spellStart"/>
      <w:r w:rsidRPr="00E63A25">
        <w:rPr>
          <w:rFonts w:ascii="Tahoma" w:eastAsia="Times New Roman" w:hAnsi="Tahoma" w:cs="Tahoma"/>
          <w:b/>
          <w:bCs/>
          <w:color w:val="757575"/>
          <w:sz w:val="28"/>
          <w:szCs w:val="28"/>
          <w:lang w:eastAsia="ru-RU"/>
        </w:rPr>
        <w:t>робочі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, як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було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раніше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,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дні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тимчасової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непрацездатності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,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відпустки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по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вагітності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та пологах і в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інших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страхових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випадках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(п. 2 Порядку №1266).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Середньоденну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зарплату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застосовують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для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всіх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страхових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виплат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, у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т.ч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.  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якщо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працівник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трудиться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неповний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робочий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день і коли </w:t>
      </w:r>
      <w:proofErr w:type="spellStart"/>
      <w:proofErr w:type="gram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обл</w:t>
      </w:r>
      <w:proofErr w:type="gram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ік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робочого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часу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ведеться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в годинах.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Змінився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й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розмі</w:t>
      </w:r>
      <w:proofErr w:type="gram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р</w:t>
      </w:r>
      <w:proofErr w:type="spellEnd"/>
      <w:proofErr w:type="gram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допомоги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у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зв’язку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з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тимчасовою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непрацездатністю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залежно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від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страхового стажу (див. табл.).</w:t>
      </w:r>
    </w:p>
    <w:p w:rsidR="00E63A25" w:rsidRPr="00E63A25" w:rsidRDefault="00E63A25" w:rsidP="00E63A25">
      <w:pPr>
        <w:shd w:val="clear" w:color="auto" w:fill="F3F3F3"/>
        <w:spacing w:after="0" w:line="360" w:lineRule="atLeast"/>
        <w:jc w:val="center"/>
        <w:rPr>
          <w:rFonts w:ascii="Tahoma" w:eastAsia="Times New Roman" w:hAnsi="Tahoma" w:cs="Tahoma"/>
          <w:color w:val="757575"/>
          <w:sz w:val="28"/>
          <w:szCs w:val="28"/>
          <w:lang w:eastAsia="ru-RU"/>
        </w:rPr>
      </w:pPr>
      <w:r w:rsidRPr="00E63A25">
        <w:rPr>
          <w:rFonts w:ascii="Tahoma" w:eastAsia="Times New Roman" w:hAnsi="Tahoma" w:cs="Tahoma"/>
          <w:noProof/>
          <w:color w:val="757575"/>
          <w:sz w:val="28"/>
          <w:szCs w:val="28"/>
          <w:lang w:eastAsia="ru-RU"/>
        </w:rPr>
        <w:lastRenderedPageBreak/>
        <w:drawing>
          <wp:inline distT="0" distB="0" distL="0" distR="0" wp14:anchorId="0B328777" wp14:editId="2C83A039">
            <wp:extent cx="9525000" cy="6343650"/>
            <wp:effectExtent l="0" t="0" r="0" b="0"/>
            <wp:docPr id="1" name="Рисунок 1" descr="http://nkmetka.gov.ua/uploads/posts/2016-01/1453965764_st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kmetka.gov.ua/uploads/posts/2016-01/1453965764_stra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A25" w:rsidRPr="00E63A25" w:rsidRDefault="00E63A25" w:rsidP="00E63A25">
      <w:pPr>
        <w:shd w:val="clear" w:color="auto" w:fill="F3F3F3"/>
        <w:spacing w:after="0" w:line="240" w:lineRule="auto"/>
        <w:rPr>
          <w:rFonts w:ascii="Tahoma" w:eastAsia="Times New Roman" w:hAnsi="Tahoma" w:cs="Tahoma"/>
          <w:color w:val="757575"/>
          <w:sz w:val="17"/>
          <w:szCs w:val="17"/>
          <w:lang w:eastAsia="ru-RU"/>
        </w:rPr>
      </w:pPr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br/>
      </w:r>
    </w:p>
    <w:p w:rsidR="00E63A25" w:rsidRPr="00E63A25" w:rsidRDefault="00E63A25" w:rsidP="00E63A25">
      <w:pPr>
        <w:shd w:val="clear" w:color="auto" w:fill="F3F3F3"/>
        <w:spacing w:after="0" w:line="240" w:lineRule="auto"/>
        <w:rPr>
          <w:rFonts w:ascii="Tahoma" w:eastAsia="Times New Roman" w:hAnsi="Tahoma" w:cs="Tahoma"/>
          <w:color w:val="757575"/>
          <w:sz w:val="17"/>
          <w:szCs w:val="17"/>
          <w:lang w:eastAsia="ru-RU"/>
        </w:rPr>
      </w:pPr>
      <w:r w:rsidRPr="00E63A25">
        <w:rPr>
          <w:rFonts w:ascii="Tahoma" w:eastAsia="Times New Roman" w:hAnsi="Tahoma" w:cs="Tahoma"/>
          <w:b/>
          <w:bCs/>
          <w:i/>
          <w:iCs/>
          <w:color w:val="757575"/>
          <w:sz w:val="28"/>
          <w:szCs w:val="28"/>
          <w:lang w:eastAsia="ru-RU"/>
        </w:rPr>
        <w:t xml:space="preserve">До </w:t>
      </w:r>
      <w:proofErr w:type="spellStart"/>
      <w:proofErr w:type="gramStart"/>
      <w:r w:rsidRPr="00E63A25">
        <w:rPr>
          <w:rFonts w:ascii="Tahoma" w:eastAsia="Times New Roman" w:hAnsi="Tahoma" w:cs="Tahoma"/>
          <w:b/>
          <w:bCs/>
          <w:i/>
          <w:iCs/>
          <w:color w:val="757575"/>
          <w:sz w:val="28"/>
          <w:szCs w:val="28"/>
          <w:lang w:eastAsia="ru-RU"/>
        </w:rPr>
        <w:t>п</w:t>
      </w:r>
      <w:proofErr w:type="gramEnd"/>
      <w:r w:rsidRPr="00E63A25">
        <w:rPr>
          <w:rFonts w:ascii="Tahoma" w:eastAsia="Times New Roman" w:hAnsi="Tahoma" w:cs="Tahoma"/>
          <w:b/>
          <w:bCs/>
          <w:i/>
          <w:iCs/>
          <w:color w:val="757575"/>
          <w:sz w:val="28"/>
          <w:szCs w:val="28"/>
          <w:lang w:eastAsia="ru-RU"/>
        </w:rPr>
        <w:t>ільгових</w:t>
      </w:r>
      <w:proofErr w:type="spellEnd"/>
      <w:r w:rsidRPr="00E63A25">
        <w:rPr>
          <w:rFonts w:ascii="Tahoma" w:eastAsia="Times New Roman" w:hAnsi="Tahoma" w:cs="Tahoma"/>
          <w:b/>
          <w:bCs/>
          <w:i/>
          <w:iCs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b/>
          <w:bCs/>
          <w:i/>
          <w:iCs/>
          <w:color w:val="757575"/>
          <w:sz w:val="28"/>
          <w:szCs w:val="28"/>
          <w:lang w:eastAsia="ru-RU"/>
        </w:rPr>
        <w:t>категорій</w:t>
      </w:r>
      <w:proofErr w:type="spellEnd"/>
      <w:r w:rsidRPr="00E63A25">
        <w:rPr>
          <w:rFonts w:ascii="Tahoma" w:eastAsia="Times New Roman" w:hAnsi="Tahoma" w:cs="Tahoma"/>
          <w:b/>
          <w:bCs/>
          <w:i/>
          <w:iCs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b/>
          <w:bCs/>
          <w:i/>
          <w:iCs/>
          <w:color w:val="757575"/>
          <w:sz w:val="28"/>
          <w:szCs w:val="28"/>
          <w:lang w:eastAsia="ru-RU"/>
        </w:rPr>
        <w:t>згідно</w:t>
      </w:r>
      <w:proofErr w:type="spellEnd"/>
      <w:r w:rsidRPr="00E63A25">
        <w:rPr>
          <w:rFonts w:ascii="Tahoma" w:eastAsia="Times New Roman" w:hAnsi="Tahoma" w:cs="Tahoma"/>
          <w:b/>
          <w:bCs/>
          <w:i/>
          <w:iCs/>
          <w:color w:val="757575"/>
          <w:sz w:val="28"/>
          <w:szCs w:val="28"/>
          <w:lang w:eastAsia="ru-RU"/>
        </w:rPr>
        <w:t xml:space="preserve"> з п. 1 ст. 24 Закону №1105 </w:t>
      </w:r>
      <w:proofErr w:type="spellStart"/>
      <w:r w:rsidRPr="00E63A25">
        <w:rPr>
          <w:rFonts w:ascii="Tahoma" w:eastAsia="Times New Roman" w:hAnsi="Tahoma" w:cs="Tahoma"/>
          <w:b/>
          <w:bCs/>
          <w:i/>
          <w:iCs/>
          <w:color w:val="757575"/>
          <w:sz w:val="28"/>
          <w:szCs w:val="28"/>
          <w:lang w:eastAsia="ru-RU"/>
        </w:rPr>
        <w:t>відносять</w:t>
      </w:r>
      <w:proofErr w:type="spellEnd"/>
      <w:r w:rsidRPr="00E63A25">
        <w:rPr>
          <w:rFonts w:ascii="Tahoma" w:eastAsia="Times New Roman" w:hAnsi="Tahoma" w:cs="Tahoma"/>
          <w:b/>
          <w:bCs/>
          <w:i/>
          <w:iCs/>
          <w:color w:val="757575"/>
          <w:sz w:val="28"/>
          <w:szCs w:val="28"/>
          <w:lang w:eastAsia="ru-RU"/>
        </w:rPr>
        <w:t>:</w:t>
      </w:r>
    </w:p>
    <w:p w:rsidR="00E63A25" w:rsidRPr="00E63A25" w:rsidRDefault="00E63A25" w:rsidP="00E63A25">
      <w:pPr>
        <w:shd w:val="clear" w:color="auto" w:fill="F3F3F3"/>
        <w:spacing w:after="0" w:line="240" w:lineRule="auto"/>
        <w:rPr>
          <w:rFonts w:ascii="Tahoma" w:eastAsia="Times New Roman" w:hAnsi="Tahoma" w:cs="Tahoma"/>
          <w:color w:val="757575"/>
          <w:sz w:val="17"/>
          <w:szCs w:val="17"/>
          <w:lang w:eastAsia="ru-RU"/>
        </w:rPr>
      </w:pPr>
    </w:p>
    <w:p w:rsidR="00E63A25" w:rsidRPr="00E63A25" w:rsidRDefault="00E63A25" w:rsidP="00E63A25">
      <w:pPr>
        <w:shd w:val="clear" w:color="auto" w:fill="F3F3F3"/>
        <w:spacing w:after="0" w:line="240" w:lineRule="auto"/>
        <w:rPr>
          <w:rFonts w:ascii="Tahoma" w:eastAsia="Times New Roman" w:hAnsi="Tahoma" w:cs="Tahoma"/>
          <w:color w:val="757575"/>
          <w:sz w:val="17"/>
          <w:szCs w:val="17"/>
          <w:lang w:eastAsia="ru-RU"/>
        </w:rPr>
      </w:pPr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• </w:t>
      </w:r>
      <w:proofErr w:type="spellStart"/>
      <w:proofErr w:type="gram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осіб</w:t>
      </w:r>
      <w:proofErr w:type="spellEnd"/>
      <w:proofErr w:type="gram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,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що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належать до І-ІІІ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категорій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осіб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,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які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постраждали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внаслідок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Чорнобильської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катастрофи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. За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страховими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випадками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,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які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настали з 01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січня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2015 року, </w:t>
      </w:r>
      <w:proofErr w:type="spellStart"/>
      <w:proofErr w:type="gram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п</w:t>
      </w:r>
      <w:proofErr w:type="gram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ільга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з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виплати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допомоги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в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розмірі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100%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середньої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зарплати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незалежно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від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страхового стажу не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надається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працівникам-чорнобильцям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ІV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категорії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(лист ФСС з ТВП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від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17.01.2015 р. №2.4-17-92);</w:t>
      </w:r>
    </w:p>
    <w:p w:rsidR="00E63A25" w:rsidRPr="00E63A25" w:rsidRDefault="00E63A25" w:rsidP="00E63A25">
      <w:pPr>
        <w:shd w:val="clear" w:color="auto" w:fill="F3F3F3"/>
        <w:spacing w:after="0" w:line="240" w:lineRule="auto"/>
        <w:rPr>
          <w:rFonts w:ascii="Tahoma" w:eastAsia="Times New Roman" w:hAnsi="Tahoma" w:cs="Tahoma"/>
          <w:color w:val="757575"/>
          <w:sz w:val="17"/>
          <w:szCs w:val="17"/>
          <w:lang w:eastAsia="ru-RU"/>
        </w:rPr>
      </w:pPr>
    </w:p>
    <w:p w:rsidR="00E63A25" w:rsidRPr="00E63A25" w:rsidRDefault="00E63A25" w:rsidP="00E63A25">
      <w:pPr>
        <w:shd w:val="clear" w:color="auto" w:fill="F3F3F3"/>
        <w:spacing w:after="0" w:line="240" w:lineRule="auto"/>
        <w:rPr>
          <w:rFonts w:ascii="Tahoma" w:eastAsia="Times New Roman" w:hAnsi="Tahoma" w:cs="Tahoma"/>
          <w:color w:val="757575"/>
          <w:sz w:val="17"/>
          <w:szCs w:val="17"/>
          <w:lang w:eastAsia="ru-RU"/>
        </w:rPr>
      </w:pPr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lastRenderedPageBreak/>
        <w:t xml:space="preserve">• одного з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батьків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або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особу, яка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їх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заміню</w:t>
      </w:r>
      <w:proofErr w:type="gram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є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,</w:t>
      </w:r>
      <w:proofErr w:type="gram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що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доглядає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за хворою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дитиною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віком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до 14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років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,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які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постраждали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від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Чорнобильської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катастрофи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;</w:t>
      </w:r>
    </w:p>
    <w:p w:rsidR="00E63A25" w:rsidRPr="00E63A25" w:rsidRDefault="00E63A25" w:rsidP="00E63A25">
      <w:pPr>
        <w:shd w:val="clear" w:color="auto" w:fill="F3F3F3"/>
        <w:spacing w:after="0" w:line="240" w:lineRule="auto"/>
        <w:rPr>
          <w:rFonts w:ascii="Tahoma" w:eastAsia="Times New Roman" w:hAnsi="Tahoma" w:cs="Tahoma"/>
          <w:color w:val="757575"/>
          <w:sz w:val="17"/>
          <w:szCs w:val="17"/>
          <w:lang w:eastAsia="ru-RU"/>
        </w:rPr>
      </w:pPr>
    </w:p>
    <w:p w:rsidR="00E63A25" w:rsidRPr="00E63A25" w:rsidRDefault="00E63A25" w:rsidP="00E63A25">
      <w:pPr>
        <w:shd w:val="clear" w:color="auto" w:fill="F3F3F3"/>
        <w:spacing w:after="0" w:line="240" w:lineRule="auto"/>
        <w:rPr>
          <w:rFonts w:ascii="Tahoma" w:eastAsia="Times New Roman" w:hAnsi="Tahoma" w:cs="Tahoma"/>
          <w:color w:val="757575"/>
          <w:sz w:val="17"/>
          <w:szCs w:val="17"/>
          <w:lang w:eastAsia="ru-RU"/>
        </w:rPr>
      </w:pPr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•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ветеранів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</w:t>
      </w:r>
      <w:proofErr w:type="gram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ійни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та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осіб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, на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яких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поширюється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дія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Закону «Про статус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ветеранів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війни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,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гарантії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їх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соціального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захисту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»;</w:t>
      </w:r>
    </w:p>
    <w:p w:rsidR="00E63A25" w:rsidRPr="00E63A25" w:rsidRDefault="00E63A25" w:rsidP="00E63A25">
      <w:pPr>
        <w:shd w:val="clear" w:color="auto" w:fill="F3F3F3"/>
        <w:spacing w:after="0" w:line="240" w:lineRule="auto"/>
        <w:rPr>
          <w:rFonts w:ascii="Tahoma" w:eastAsia="Times New Roman" w:hAnsi="Tahoma" w:cs="Tahoma"/>
          <w:color w:val="757575"/>
          <w:sz w:val="17"/>
          <w:szCs w:val="17"/>
          <w:lang w:eastAsia="ru-RU"/>
        </w:rPr>
      </w:pPr>
    </w:p>
    <w:p w:rsidR="00E63A25" w:rsidRPr="00E63A25" w:rsidRDefault="00E63A25" w:rsidP="00E63A25">
      <w:pPr>
        <w:shd w:val="clear" w:color="auto" w:fill="F3F3F3"/>
        <w:spacing w:after="0" w:line="240" w:lineRule="auto"/>
        <w:rPr>
          <w:rFonts w:ascii="Tahoma" w:eastAsia="Times New Roman" w:hAnsi="Tahoma" w:cs="Tahoma"/>
          <w:color w:val="757575"/>
          <w:sz w:val="17"/>
          <w:szCs w:val="17"/>
          <w:lang w:eastAsia="ru-RU"/>
        </w:rPr>
      </w:pPr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•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осіб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,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зарахованих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до жертв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нацистських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переслідувань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відповідно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gram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до</w:t>
      </w:r>
      <w:proofErr w:type="gram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Закону «Про жертв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нацистських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переслідувань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»;</w:t>
      </w:r>
    </w:p>
    <w:p w:rsidR="00E63A25" w:rsidRPr="00E63A25" w:rsidRDefault="00E63A25" w:rsidP="00E63A25">
      <w:pPr>
        <w:shd w:val="clear" w:color="auto" w:fill="F3F3F3"/>
        <w:spacing w:after="0" w:line="240" w:lineRule="auto"/>
        <w:rPr>
          <w:rFonts w:ascii="Tahoma" w:eastAsia="Times New Roman" w:hAnsi="Tahoma" w:cs="Tahoma"/>
          <w:color w:val="757575"/>
          <w:sz w:val="17"/>
          <w:szCs w:val="17"/>
          <w:lang w:eastAsia="ru-RU"/>
        </w:rPr>
      </w:pPr>
    </w:p>
    <w:p w:rsidR="00E63A25" w:rsidRPr="00E63A25" w:rsidRDefault="00E63A25" w:rsidP="00E63A25">
      <w:pPr>
        <w:shd w:val="clear" w:color="auto" w:fill="F3F3F3"/>
        <w:spacing w:after="0" w:line="240" w:lineRule="auto"/>
        <w:rPr>
          <w:rFonts w:ascii="Tahoma" w:eastAsia="Times New Roman" w:hAnsi="Tahoma" w:cs="Tahoma"/>
          <w:color w:val="757575"/>
          <w:sz w:val="17"/>
          <w:szCs w:val="17"/>
          <w:lang w:eastAsia="ru-RU"/>
        </w:rPr>
      </w:pPr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•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донорів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,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які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мають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право на </w:t>
      </w:r>
      <w:proofErr w:type="spellStart"/>
      <w:proofErr w:type="gram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п</w:t>
      </w:r>
      <w:proofErr w:type="gram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ільгу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,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передбачену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ст. 10 Закону «Про донорство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крові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та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її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компонентів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».</w:t>
      </w:r>
    </w:p>
    <w:p w:rsidR="00E63A25" w:rsidRPr="00E63A25" w:rsidRDefault="00E63A25" w:rsidP="00E63A25">
      <w:pPr>
        <w:shd w:val="clear" w:color="auto" w:fill="F3F3F3"/>
        <w:spacing w:after="0" w:line="240" w:lineRule="auto"/>
        <w:rPr>
          <w:rFonts w:ascii="Tahoma" w:eastAsia="Times New Roman" w:hAnsi="Tahoma" w:cs="Tahoma"/>
          <w:color w:val="757575"/>
          <w:sz w:val="17"/>
          <w:szCs w:val="17"/>
          <w:lang w:eastAsia="ru-RU"/>
        </w:rPr>
      </w:pPr>
    </w:p>
    <w:p w:rsidR="00E63A25" w:rsidRPr="00E63A25" w:rsidRDefault="00E63A25" w:rsidP="00E63A25">
      <w:pPr>
        <w:shd w:val="clear" w:color="auto" w:fill="F3F3F3"/>
        <w:spacing w:after="0" w:line="240" w:lineRule="auto"/>
        <w:rPr>
          <w:rFonts w:ascii="Tahoma" w:eastAsia="Times New Roman" w:hAnsi="Tahoma" w:cs="Tahoma"/>
          <w:color w:val="757575"/>
          <w:sz w:val="17"/>
          <w:szCs w:val="17"/>
          <w:lang w:eastAsia="ru-RU"/>
        </w:rPr>
      </w:pPr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Суму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лікарняних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,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декретних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та оплати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днів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тимчасової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непрацездатності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за кошт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роботодавця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обчислюють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множенням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середньоденного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заробітку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за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календарний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день на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відсоток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оплати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залежно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від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страхового стажу (коли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його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застосовують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) та на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кількість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календарних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днів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,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що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п</w:t>
      </w:r>
      <w:proofErr w:type="gram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ідлягають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оплаті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відповідно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до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оформленого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листка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непрацездатності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. При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цьому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при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розрахунку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святкові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та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неробочі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дні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не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відкидають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.</w:t>
      </w:r>
    </w:p>
    <w:p w:rsidR="00E63A25" w:rsidRPr="00E63A25" w:rsidRDefault="00E63A25" w:rsidP="00E63A25">
      <w:pPr>
        <w:shd w:val="clear" w:color="auto" w:fill="F3F3F3"/>
        <w:spacing w:after="0" w:line="240" w:lineRule="auto"/>
        <w:rPr>
          <w:rFonts w:ascii="Tahoma" w:eastAsia="Times New Roman" w:hAnsi="Tahoma" w:cs="Tahoma"/>
          <w:color w:val="757575"/>
          <w:sz w:val="17"/>
          <w:szCs w:val="17"/>
          <w:lang w:eastAsia="ru-RU"/>
        </w:rPr>
      </w:pPr>
    </w:p>
    <w:p w:rsidR="00E63A25" w:rsidRPr="00E63A25" w:rsidRDefault="00E63A25" w:rsidP="00E63A25">
      <w:pPr>
        <w:shd w:val="clear" w:color="auto" w:fill="F3F3F3"/>
        <w:spacing w:after="0" w:line="240" w:lineRule="auto"/>
        <w:rPr>
          <w:rFonts w:ascii="Tahoma" w:eastAsia="Times New Roman" w:hAnsi="Tahoma" w:cs="Tahoma"/>
          <w:color w:val="757575"/>
          <w:sz w:val="17"/>
          <w:szCs w:val="17"/>
          <w:lang w:eastAsia="ru-RU"/>
        </w:rPr>
      </w:pPr>
      <w:proofErr w:type="gram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На</w:t>
      </w:r>
      <w:proofErr w:type="gram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робот</w:t>
      </w:r>
      <w:proofErr w:type="gram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і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за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сумісництвом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і за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основним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місцем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роботи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визначають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розрахунковий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період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і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середню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зарплату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окремо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за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кожним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місцем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роботи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.</w:t>
      </w:r>
    </w:p>
    <w:p w:rsidR="00E63A25" w:rsidRPr="00E63A25" w:rsidRDefault="00E63A25" w:rsidP="00E63A25">
      <w:pPr>
        <w:shd w:val="clear" w:color="auto" w:fill="F3F3F3"/>
        <w:spacing w:after="0" w:line="240" w:lineRule="auto"/>
        <w:rPr>
          <w:rFonts w:ascii="Tahoma" w:eastAsia="Times New Roman" w:hAnsi="Tahoma" w:cs="Tahoma"/>
          <w:color w:val="757575"/>
          <w:sz w:val="17"/>
          <w:szCs w:val="17"/>
          <w:lang w:eastAsia="ru-RU"/>
        </w:rPr>
      </w:pPr>
    </w:p>
    <w:p w:rsidR="00E63A25" w:rsidRPr="00E63A25" w:rsidRDefault="00E63A25" w:rsidP="00E63A25">
      <w:pPr>
        <w:shd w:val="clear" w:color="auto" w:fill="F3F3F3"/>
        <w:spacing w:after="0" w:line="240" w:lineRule="auto"/>
        <w:rPr>
          <w:rFonts w:ascii="Tahoma" w:eastAsia="Times New Roman" w:hAnsi="Tahoma" w:cs="Tahoma"/>
          <w:color w:val="757575"/>
          <w:sz w:val="17"/>
          <w:szCs w:val="17"/>
          <w:lang w:eastAsia="ru-RU"/>
        </w:rPr>
      </w:pP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Сумарна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зарплата,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із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якої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розраховують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виплати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, за </w:t>
      </w:r>
      <w:proofErr w:type="spellStart"/>
      <w:proofErr w:type="gram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м</w:t>
      </w:r>
      <w:proofErr w:type="gram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ісяцями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розрахункового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періоду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за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основним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місцем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роботи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та за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місцем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(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місцями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)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роботи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за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сумісництвом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не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може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перевищувати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розміру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максимальної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величини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бази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нарахування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єдиного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внеску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– на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сьогодні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це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20706 грн.</w:t>
      </w:r>
    </w:p>
    <w:p w:rsidR="00E63A25" w:rsidRPr="00E63A25" w:rsidRDefault="00E63A25" w:rsidP="00E63A25">
      <w:pPr>
        <w:shd w:val="clear" w:color="auto" w:fill="F3F3F3"/>
        <w:spacing w:after="0" w:line="240" w:lineRule="auto"/>
        <w:rPr>
          <w:rFonts w:ascii="Tahoma" w:eastAsia="Times New Roman" w:hAnsi="Tahoma" w:cs="Tahoma"/>
          <w:color w:val="757575"/>
          <w:sz w:val="17"/>
          <w:szCs w:val="17"/>
          <w:lang w:eastAsia="ru-RU"/>
        </w:rPr>
      </w:pPr>
    </w:p>
    <w:p w:rsidR="00E63A25" w:rsidRPr="00E63A25" w:rsidRDefault="00E63A25" w:rsidP="00E63A25">
      <w:pPr>
        <w:shd w:val="clear" w:color="auto" w:fill="F3F3F3"/>
        <w:spacing w:after="0" w:line="240" w:lineRule="auto"/>
        <w:rPr>
          <w:rFonts w:ascii="Tahoma" w:eastAsia="Times New Roman" w:hAnsi="Tahoma" w:cs="Tahoma"/>
          <w:color w:val="757575"/>
          <w:sz w:val="17"/>
          <w:szCs w:val="17"/>
          <w:lang w:eastAsia="ru-RU"/>
        </w:rPr>
      </w:pP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Роботодавець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, як і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раніше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,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сплачуватиме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за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перші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п'ять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днів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тимчасової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втрати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працездатності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через хворобу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або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травму,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отримання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якої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не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пов'язане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з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нещасним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випадком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на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виробництві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. А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починаючи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з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шостого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й за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решту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днів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виплати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здійснюватимуться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за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рахунок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коштів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Фонду </w:t>
      </w:r>
      <w:proofErr w:type="spellStart"/>
      <w:proofErr w:type="gram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соц</w:t>
      </w:r>
      <w:proofErr w:type="gram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іального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страхування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тимчасової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втрати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 xml:space="preserve"> </w:t>
      </w:r>
      <w:proofErr w:type="spellStart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працездатності</w:t>
      </w:r>
      <w:proofErr w:type="spellEnd"/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t>.</w:t>
      </w:r>
      <w:r w:rsidRPr="00E63A25">
        <w:rPr>
          <w:rFonts w:ascii="Tahoma" w:eastAsia="Times New Roman" w:hAnsi="Tahoma" w:cs="Tahoma"/>
          <w:color w:val="757575"/>
          <w:sz w:val="28"/>
          <w:szCs w:val="28"/>
          <w:lang w:eastAsia="ru-RU"/>
        </w:rPr>
        <w:br/>
      </w:r>
      <w:bookmarkStart w:id="0" w:name="_GoBack"/>
      <w:bookmarkEnd w:id="0"/>
    </w:p>
    <w:p w:rsidR="00A16361" w:rsidRDefault="00A16361"/>
    <w:sectPr w:rsidR="00A1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25"/>
    <w:rsid w:val="000920E7"/>
    <w:rsid w:val="000B2973"/>
    <w:rsid w:val="000B6D0E"/>
    <w:rsid w:val="000C4B45"/>
    <w:rsid w:val="00152281"/>
    <w:rsid w:val="00153EC5"/>
    <w:rsid w:val="00154A2B"/>
    <w:rsid w:val="001A18DB"/>
    <w:rsid w:val="001B0E50"/>
    <w:rsid w:val="001B6A6F"/>
    <w:rsid w:val="00284095"/>
    <w:rsid w:val="002B6126"/>
    <w:rsid w:val="003218E3"/>
    <w:rsid w:val="00383B51"/>
    <w:rsid w:val="003B0B77"/>
    <w:rsid w:val="00455593"/>
    <w:rsid w:val="0056203B"/>
    <w:rsid w:val="00584FF7"/>
    <w:rsid w:val="005C6040"/>
    <w:rsid w:val="005D7BD7"/>
    <w:rsid w:val="00631BBC"/>
    <w:rsid w:val="00696149"/>
    <w:rsid w:val="00713AAC"/>
    <w:rsid w:val="0078693E"/>
    <w:rsid w:val="007A3F69"/>
    <w:rsid w:val="007C4EAC"/>
    <w:rsid w:val="00804F4E"/>
    <w:rsid w:val="008445DC"/>
    <w:rsid w:val="00893825"/>
    <w:rsid w:val="0090372F"/>
    <w:rsid w:val="009247F7"/>
    <w:rsid w:val="00926101"/>
    <w:rsid w:val="00953971"/>
    <w:rsid w:val="00961428"/>
    <w:rsid w:val="009B1A1F"/>
    <w:rsid w:val="00A16361"/>
    <w:rsid w:val="00A6315F"/>
    <w:rsid w:val="00A6797D"/>
    <w:rsid w:val="00A93AB7"/>
    <w:rsid w:val="00AD246B"/>
    <w:rsid w:val="00AE6E81"/>
    <w:rsid w:val="00B059B9"/>
    <w:rsid w:val="00B607BA"/>
    <w:rsid w:val="00BA74F7"/>
    <w:rsid w:val="00BC17A0"/>
    <w:rsid w:val="00BC5D9C"/>
    <w:rsid w:val="00BF7538"/>
    <w:rsid w:val="00C076BE"/>
    <w:rsid w:val="00C14956"/>
    <w:rsid w:val="00C2357D"/>
    <w:rsid w:val="00C922B5"/>
    <w:rsid w:val="00CA34BD"/>
    <w:rsid w:val="00D017D7"/>
    <w:rsid w:val="00D27F7F"/>
    <w:rsid w:val="00D30E27"/>
    <w:rsid w:val="00D34F03"/>
    <w:rsid w:val="00D446AB"/>
    <w:rsid w:val="00DF6668"/>
    <w:rsid w:val="00E01A80"/>
    <w:rsid w:val="00E55D9C"/>
    <w:rsid w:val="00E63A25"/>
    <w:rsid w:val="00E67E31"/>
    <w:rsid w:val="00E8563C"/>
    <w:rsid w:val="00EA52A8"/>
    <w:rsid w:val="00EE4330"/>
    <w:rsid w:val="00F0695B"/>
    <w:rsid w:val="00F07B12"/>
    <w:rsid w:val="00F21066"/>
    <w:rsid w:val="00F25753"/>
    <w:rsid w:val="00F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2016-02-10T09:45:00Z</dcterms:created>
  <dcterms:modified xsi:type="dcterms:W3CDTF">2016-02-10T09:46:00Z</dcterms:modified>
</cp:coreProperties>
</file>